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BCB7" w14:textId="2ABF0978" w:rsidR="001E0553" w:rsidRPr="00940294" w:rsidRDefault="00940294" w:rsidP="00165709">
      <w:pPr>
        <w:ind w:left="567"/>
        <w:rPr>
          <w:rFonts w:ascii="Times New Roman" w:hAnsi="Times New Roman" w:cs="Times New Roman"/>
          <w:sz w:val="32"/>
          <w:szCs w:val="32"/>
        </w:rPr>
      </w:pPr>
      <w:r w:rsidRPr="00940294">
        <w:rPr>
          <w:rFonts w:ascii="Times New Roman" w:hAnsi="Times New Roman" w:cs="Times New Roman"/>
          <w:sz w:val="32"/>
          <w:szCs w:val="32"/>
        </w:rPr>
        <w:t>Меморандум обвинения</w:t>
      </w:r>
      <w:r w:rsidRPr="00940294">
        <w:rPr>
          <w:rFonts w:ascii="Times New Roman" w:hAnsi="Times New Roman" w:cs="Times New Roman"/>
          <w:sz w:val="32"/>
          <w:szCs w:val="32"/>
          <w:lang w:val="en-US"/>
        </w:rPr>
        <w:t>:</w:t>
      </w:r>
    </w:p>
    <w:tbl>
      <w:tblPr>
        <w:tblStyle w:val="a4"/>
        <w:tblW w:w="11313" w:type="dxa"/>
        <w:tblInd w:w="-1565" w:type="dxa"/>
        <w:tblLook w:val="04A0" w:firstRow="1" w:lastRow="0" w:firstColumn="1" w:lastColumn="0" w:noHBand="0" w:noVBand="1"/>
      </w:tblPr>
      <w:tblGrid>
        <w:gridCol w:w="4227"/>
        <w:gridCol w:w="3543"/>
        <w:gridCol w:w="3543"/>
      </w:tblGrid>
      <w:tr w:rsidR="00940294" w14:paraId="47C4E106" w14:textId="77777777" w:rsidTr="00165709">
        <w:trPr>
          <w:trHeight w:val="761"/>
        </w:trPr>
        <w:tc>
          <w:tcPr>
            <w:tcW w:w="4227" w:type="dxa"/>
          </w:tcPr>
          <w:p w14:paraId="77508247" w14:textId="4314BD95" w:rsidR="00940294" w:rsidRPr="00940294" w:rsidRDefault="00940294" w:rsidP="00940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294">
              <w:rPr>
                <w:rFonts w:ascii="Times New Roman" w:hAnsi="Times New Roman" w:cs="Times New Roman"/>
                <w:sz w:val="28"/>
                <w:szCs w:val="28"/>
              </w:rPr>
              <w:t>Ошибка</w:t>
            </w:r>
          </w:p>
        </w:tc>
        <w:tc>
          <w:tcPr>
            <w:tcW w:w="3543" w:type="dxa"/>
          </w:tcPr>
          <w:p w14:paraId="66A2E0B1" w14:textId="41298766" w:rsidR="00940294" w:rsidRPr="00940294" w:rsidRDefault="00940294" w:rsidP="00940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294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  <w:tc>
          <w:tcPr>
            <w:tcW w:w="3543" w:type="dxa"/>
          </w:tcPr>
          <w:p w14:paraId="1192CCBB" w14:textId="7CD080C2" w:rsidR="00940294" w:rsidRPr="00940294" w:rsidRDefault="00940294" w:rsidP="00940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294">
              <w:rPr>
                <w:rFonts w:ascii="Times New Roman" w:hAnsi="Times New Roman" w:cs="Times New Roman"/>
                <w:sz w:val="28"/>
                <w:szCs w:val="28"/>
              </w:rPr>
              <w:t>Переформулированные аргументы</w:t>
            </w:r>
          </w:p>
        </w:tc>
      </w:tr>
      <w:tr w:rsidR="00940294" w14:paraId="26E62E9E" w14:textId="77777777" w:rsidTr="00165709">
        <w:trPr>
          <w:trHeight w:val="856"/>
        </w:trPr>
        <w:tc>
          <w:tcPr>
            <w:tcW w:w="4227" w:type="dxa"/>
          </w:tcPr>
          <w:p w14:paraId="66F97AC5" w14:textId="185C1DA5" w:rsidR="00940294" w:rsidRDefault="00940294" w:rsidP="00940294">
            <w:pPr>
              <w:pStyle w:val="a3"/>
              <w:ind w:left="0"/>
            </w:pPr>
            <w:r>
              <w:t>Действия Дурова А.</w:t>
            </w:r>
            <w:r w:rsidR="00882C82">
              <w:t xml:space="preserve"> </w:t>
            </w:r>
            <w:r>
              <w:t>П. попадают под состав преступления, предусмотренного статьей 115 УК РФ (Умышленное причинение легкого вреда здоровью)</w:t>
            </w:r>
            <w:r w:rsidR="00882C82">
              <w:t>.</w:t>
            </w:r>
          </w:p>
        </w:tc>
        <w:tc>
          <w:tcPr>
            <w:tcW w:w="3543" w:type="dxa"/>
          </w:tcPr>
          <w:p w14:paraId="0BE7BE5F" w14:textId="34FC21BE" w:rsidR="00882C82" w:rsidRPr="00882C82" w:rsidRDefault="00882C82" w:rsidP="00940294">
            <w:pPr>
              <w:pStyle w:val="a3"/>
              <w:ind w:left="0"/>
            </w:pPr>
            <w:r>
              <w:t xml:space="preserve">Согласно </w:t>
            </w:r>
            <w:proofErr w:type="spellStart"/>
            <w:r>
              <w:t>пп</w:t>
            </w:r>
            <w:proofErr w:type="spellEnd"/>
            <w:r>
              <w:t>. 5, 6 Фабулы, действия Дурова А. П. нельзя квалифицировать, как умышленное причинение лёгкого вреда здоровью, так как гражданин Дуров действовал в состоянии необходимой обороны. Его действия не регулируются именно данной статьёй УК.</w:t>
            </w:r>
          </w:p>
        </w:tc>
        <w:tc>
          <w:tcPr>
            <w:tcW w:w="3543" w:type="dxa"/>
          </w:tcPr>
          <w:p w14:paraId="547EFE14" w14:textId="18E60BD5" w:rsidR="00940294" w:rsidRDefault="00882C82" w:rsidP="00940294">
            <w:pPr>
              <w:pStyle w:val="a3"/>
              <w:ind w:left="0"/>
            </w:pPr>
            <w:r>
              <w:t xml:space="preserve">Действия Дурова А.П. попадают </w:t>
            </w:r>
            <w:r w:rsidRPr="00882C82">
              <w:rPr>
                <w:rFonts w:cstheme="minorHAnsi"/>
              </w:rPr>
              <w:t>под состав преступления, предусмотренного статьей</w:t>
            </w:r>
            <w:r w:rsidRPr="00882C82">
              <w:rPr>
                <w:rFonts w:cstheme="minorHAnsi"/>
              </w:rPr>
              <w:t xml:space="preserve"> 37</w:t>
            </w:r>
            <w:r w:rsidRPr="00882C82">
              <w:rPr>
                <w:rFonts w:cstheme="minorHAnsi"/>
              </w:rPr>
              <w:t xml:space="preserve"> УК РФ </w:t>
            </w:r>
            <w:r w:rsidRPr="00882C82">
              <w:rPr>
                <w:rFonts w:cstheme="minorHAnsi"/>
              </w:rPr>
              <w:t>(</w:t>
            </w:r>
            <w:r w:rsidRPr="00882C82">
              <w:rPr>
                <w:rFonts w:cstheme="minorHAnsi"/>
                <w:color w:val="000000"/>
                <w:shd w:val="clear" w:color="auto" w:fill="FFFFFF"/>
              </w:rPr>
              <w:t>Необходимая оборона</w:t>
            </w:r>
            <w:r w:rsidRPr="00882C82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</w:p>
        </w:tc>
      </w:tr>
      <w:tr w:rsidR="00940294" w14:paraId="4DA5B61F" w14:textId="77777777" w:rsidTr="00165709">
        <w:trPr>
          <w:trHeight w:val="810"/>
        </w:trPr>
        <w:tc>
          <w:tcPr>
            <w:tcW w:w="4227" w:type="dxa"/>
          </w:tcPr>
          <w:p w14:paraId="679725B5" w14:textId="461A78D5" w:rsidR="00940294" w:rsidRDefault="00882C82" w:rsidP="00940294">
            <w:pPr>
              <w:pStyle w:val="a3"/>
              <w:ind w:left="0"/>
            </w:pPr>
            <w:r>
              <w:t>Дуров А.</w:t>
            </w:r>
            <w:r>
              <w:t xml:space="preserve"> </w:t>
            </w:r>
            <w:r>
              <w:t>П. умышленно совершил преступление, поскольку он осознавал общественную опасность своих действий (командуя собаке нападать, лицо осознает, что совершает противоправное посягательство на здоровье Смирнова О.</w:t>
            </w:r>
            <w:r>
              <w:t xml:space="preserve"> </w:t>
            </w:r>
            <w:r>
              <w:t>В.), предвидел возможность наступления общественно опасных последствий (что в результате нападения собаки потерпевшему будет причинен вред) и сознательно допускал факт причинения вреда здоровью либо относился к нему безразлично (что собака не просто припугнет, а ещё покусает).</w:t>
            </w:r>
          </w:p>
        </w:tc>
        <w:tc>
          <w:tcPr>
            <w:tcW w:w="3543" w:type="dxa"/>
          </w:tcPr>
          <w:p w14:paraId="2C8E8771" w14:textId="0CC76D28" w:rsidR="007D61F0" w:rsidRDefault="007D61F0" w:rsidP="00E6766B">
            <w:pPr>
              <w:pStyle w:val="a3"/>
              <w:ind w:left="0"/>
            </w:pPr>
            <w:r>
              <w:t xml:space="preserve">Дуров А. П. не мог осознавать </w:t>
            </w:r>
            <w:r>
              <w:t xml:space="preserve">общественную опасность своих действий </w:t>
            </w:r>
            <w:r w:rsidR="00E6766B">
              <w:t>(</w:t>
            </w:r>
            <w:r>
              <w:t>тот факт, что собака, услышав его команду, сорвется с поводка и побежит нападать на Смирнова О. В.</w:t>
            </w:r>
            <w:r w:rsidR="00E6766B">
              <w:t xml:space="preserve">). </w:t>
            </w:r>
            <w:r>
              <w:t xml:space="preserve"> Гражданин Дуров находился в состоянии крайней необходимости, поэтому не предусмотрел возможность собаки причинить лёгкий здоровью нападавшего. Также Дуров А. П. не мог знать, что именно сделает его собака по отношению к гражданину Смирнову, так как </w:t>
            </w:r>
            <w:r w:rsidR="000B7D71">
              <w:t>собака имеет свой порядок действий, и он не всегда совпадает с тем, что от неё хочет</w:t>
            </w:r>
            <w:r w:rsidR="00E6766B">
              <w:t xml:space="preserve"> </w:t>
            </w:r>
            <w:r w:rsidR="00E6766B" w:rsidRPr="00E6766B">
              <w:t>/</w:t>
            </w:r>
            <w:r w:rsidR="00E6766B">
              <w:t xml:space="preserve"> ожидает</w:t>
            </w:r>
            <w:r w:rsidR="000B7D71">
              <w:t xml:space="preserve"> хозяин.</w:t>
            </w:r>
            <w:r w:rsidR="00FF77AF">
              <w:t xml:space="preserve"> Более того, согласно </w:t>
            </w:r>
            <w:proofErr w:type="spellStart"/>
            <w:r w:rsidR="00FF77AF">
              <w:t>пп</w:t>
            </w:r>
            <w:proofErr w:type="spellEnd"/>
            <w:r w:rsidR="00FF77AF">
              <w:t>. 4, 7 Фабулы, Дуров изначально привязал свою собаку таким образом, чтобы она не убежала, пока он был в магазине, а не так, чтобы она осталась привязанной</w:t>
            </w:r>
            <w:r w:rsidR="00D27B09">
              <w:t xml:space="preserve"> к забору</w:t>
            </w:r>
            <w:r w:rsidR="00FF77AF">
              <w:t xml:space="preserve"> в случае, когда</w:t>
            </w:r>
            <w:r w:rsidR="00D27B09">
              <w:t xml:space="preserve"> он отдаст её команду нападать.</w:t>
            </w:r>
          </w:p>
        </w:tc>
        <w:tc>
          <w:tcPr>
            <w:tcW w:w="3543" w:type="dxa"/>
          </w:tcPr>
          <w:p w14:paraId="72EEC919" w14:textId="29A4EEAA" w:rsidR="00940294" w:rsidRPr="00D27B09" w:rsidRDefault="00D27B09" w:rsidP="00940294">
            <w:pPr>
              <w:pStyle w:val="a3"/>
              <w:ind w:left="0"/>
            </w:pPr>
            <w:r>
              <w:t xml:space="preserve">Дуров А. П. </w:t>
            </w:r>
            <w:r>
              <w:t xml:space="preserve">находился в состоянии необходимой обороны, поэтому его действия не являются преступными. Также он не мог предвидеть тот факт, что собака </w:t>
            </w:r>
            <w:r>
              <w:t>не просто припугнет, а ещё покусает</w:t>
            </w:r>
            <w:r>
              <w:t xml:space="preserve"> нападавшего.</w:t>
            </w:r>
          </w:p>
        </w:tc>
      </w:tr>
      <w:tr w:rsidR="00940294" w14:paraId="5E1C8CF6" w14:textId="77777777" w:rsidTr="00165709">
        <w:trPr>
          <w:trHeight w:val="856"/>
        </w:trPr>
        <w:tc>
          <w:tcPr>
            <w:tcW w:w="4227" w:type="dxa"/>
          </w:tcPr>
          <w:p w14:paraId="6948AEC8" w14:textId="50BFBA81" w:rsidR="00940294" w:rsidRDefault="000B7D71" w:rsidP="00940294">
            <w:pPr>
              <w:pStyle w:val="a3"/>
              <w:ind w:left="0"/>
            </w:pPr>
            <w:r>
              <w:t>Для возмещения вреда за источник повышенной опасности необходимо наличие всех критериев гражданско-правовой ответственности: 1) сам источник повышенной опасности, 2) причиненный вред, 3) вина владельца источника повышенной опасности и 4) причинно-следственная связь между действиями непосредственно источника повышенной опасности и наступившим вредом.</w:t>
            </w:r>
          </w:p>
        </w:tc>
        <w:tc>
          <w:tcPr>
            <w:tcW w:w="3543" w:type="dxa"/>
          </w:tcPr>
          <w:p w14:paraId="24662199" w14:textId="747AD241" w:rsidR="00940294" w:rsidRDefault="000B7D71" w:rsidP="00940294">
            <w:pPr>
              <w:pStyle w:val="a3"/>
              <w:ind w:left="0"/>
            </w:pPr>
            <w:r>
              <w:t>Согласно ст. 1079 и п. 18 Постановления Пленума ВС РФ от 26.01.2010 № 1</w:t>
            </w:r>
            <w:r>
              <w:t>, владелец источника повышенной опасности должен подлежать ответственности вне зависимости от его вины.</w:t>
            </w:r>
          </w:p>
        </w:tc>
        <w:tc>
          <w:tcPr>
            <w:tcW w:w="3543" w:type="dxa"/>
          </w:tcPr>
          <w:p w14:paraId="7D23B67B" w14:textId="14DD09CC" w:rsidR="00940294" w:rsidRDefault="00771CFD" w:rsidP="00940294">
            <w:pPr>
              <w:pStyle w:val="a3"/>
              <w:ind w:left="0"/>
            </w:pPr>
            <w:r>
              <w:t xml:space="preserve">Для возмещения вреда за источник повышенной опасности необходимо наличие всех критериев гражданско-правовой ответственности: 1) сам источник повышенной опасности, 2) причиненный вред и </w:t>
            </w:r>
            <w:r>
              <w:t>3</w:t>
            </w:r>
            <w:r>
              <w:t>) причинно-следственная связь между действиями непосредственно источника повышенной опасности и наступившим вредом.</w:t>
            </w:r>
          </w:p>
        </w:tc>
      </w:tr>
      <w:tr w:rsidR="00882C82" w14:paraId="387EE362" w14:textId="77777777" w:rsidTr="00165709">
        <w:trPr>
          <w:trHeight w:val="856"/>
        </w:trPr>
        <w:tc>
          <w:tcPr>
            <w:tcW w:w="4227" w:type="dxa"/>
          </w:tcPr>
          <w:p w14:paraId="76687BF2" w14:textId="6DEA1CFC" w:rsidR="00882C82" w:rsidRDefault="00771CFD" w:rsidP="00940294">
            <w:pPr>
              <w:pStyle w:val="a3"/>
              <w:ind w:left="0"/>
            </w:pPr>
            <w:r>
              <w:lastRenderedPageBreak/>
              <w:t xml:space="preserve">В нашем случае имеются все вышеперечисленные основания ответственности. В результате укусов собаки </w:t>
            </w:r>
            <w:proofErr w:type="spellStart"/>
            <w:r>
              <w:t>Плуто</w:t>
            </w:r>
            <w:proofErr w:type="spellEnd"/>
            <w:r>
              <w:t xml:space="preserve"> был причинен вред здоровью и имуществу Смирнова О.</w:t>
            </w:r>
            <w:r>
              <w:t xml:space="preserve"> </w:t>
            </w:r>
            <w:r>
              <w:t>В. (телесные увечья, расходы на лечение, порча куртки и брюк). Вина Дурова А.П. выражается в том, что последний не проявил должного стандарта заботливости и осмотрительности, который требуется от владельца источника повышенной опасности, что и привело к неблагоприятным последствиям в имущественной сфере потерпевшего.</w:t>
            </w:r>
          </w:p>
        </w:tc>
        <w:tc>
          <w:tcPr>
            <w:tcW w:w="3543" w:type="dxa"/>
          </w:tcPr>
          <w:p w14:paraId="2167F5E4" w14:textId="250499CC" w:rsidR="00882C82" w:rsidRDefault="00771CFD" w:rsidP="00940294">
            <w:pPr>
              <w:pStyle w:val="a3"/>
              <w:ind w:left="0"/>
            </w:pPr>
            <w:r>
              <w:t xml:space="preserve">Гражданин Дуров не мог предусмотреть тот факт, что ему будет угрожать гражданин Смирнов, поэтому привязал свою собаку так, чтобы она не убежала, когда он будет в магазине, а не так, чтобы она не сорвалась, в случае, если на него нападут. Исходя из вышеперечисленного, гражданин Дуров А. П. проявил должный стандарт внимания к объекту повышенной опасности, однако действия Смирнова О. В спровоцировали Дурова прибегнуть к необходимой обороны, вследствие чего </w:t>
            </w:r>
            <w:proofErr w:type="spellStart"/>
            <w:r>
              <w:t>Плуто</w:t>
            </w:r>
            <w:proofErr w:type="spellEnd"/>
            <w:r>
              <w:t xml:space="preserve"> сорвался с некрепко завязанного поводка и бросился на источника опасности.</w:t>
            </w:r>
          </w:p>
        </w:tc>
        <w:tc>
          <w:tcPr>
            <w:tcW w:w="3543" w:type="dxa"/>
          </w:tcPr>
          <w:p w14:paraId="2C50F2C9" w14:textId="34BCD982" w:rsidR="00882C82" w:rsidRDefault="00D27B09" w:rsidP="00940294">
            <w:pPr>
              <w:pStyle w:val="a3"/>
              <w:ind w:left="0"/>
            </w:pPr>
            <w:r>
              <w:t>Гражданин Дуров проявил должный стандарт внимания к источнику повышенной опасности.</w:t>
            </w:r>
          </w:p>
        </w:tc>
      </w:tr>
    </w:tbl>
    <w:p w14:paraId="62FE1BDE" w14:textId="787C39F6" w:rsidR="00165709" w:rsidRDefault="00165709" w:rsidP="00165709">
      <w:pPr>
        <w:pStyle w:val="a3"/>
      </w:pPr>
    </w:p>
    <w:p w14:paraId="50C88E4C" w14:textId="3907E43C" w:rsidR="00165709" w:rsidRDefault="00165709" w:rsidP="00165709">
      <w:pPr>
        <w:pStyle w:val="a3"/>
        <w:tabs>
          <w:tab w:val="left" w:pos="720"/>
        </w:tabs>
      </w:pPr>
    </w:p>
    <w:p w14:paraId="7ECB977A" w14:textId="44E8B23C" w:rsidR="00165709" w:rsidRDefault="00165709" w:rsidP="00165709">
      <w:pPr>
        <w:pStyle w:val="a3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Меморандум защиты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tbl>
      <w:tblPr>
        <w:tblStyle w:val="a4"/>
        <w:tblW w:w="11341" w:type="dxa"/>
        <w:tblInd w:w="-1565" w:type="dxa"/>
        <w:tblLook w:val="04A0" w:firstRow="1" w:lastRow="0" w:firstColumn="1" w:lastColumn="0" w:noHBand="0" w:noVBand="1"/>
      </w:tblPr>
      <w:tblGrid>
        <w:gridCol w:w="3687"/>
        <w:gridCol w:w="3685"/>
        <w:gridCol w:w="3969"/>
      </w:tblGrid>
      <w:tr w:rsidR="00165709" w14:paraId="49DCA1CE" w14:textId="77777777" w:rsidTr="00165709">
        <w:trPr>
          <w:trHeight w:val="673"/>
        </w:trPr>
        <w:tc>
          <w:tcPr>
            <w:tcW w:w="3687" w:type="dxa"/>
          </w:tcPr>
          <w:p w14:paraId="4D089619" w14:textId="1F28F744" w:rsidR="00165709" w:rsidRPr="00165709" w:rsidRDefault="00165709" w:rsidP="0016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Ошибка</w:t>
            </w:r>
          </w:p>
        </w:tc>
        <w:tc>
          <w:tcPr>
            <w:tcW w:w="3685" w:type="dxa"/>
          </w:tcPr>
          <w:p w14:paraId="5D730C34" w14:textId="1FFD508D" w:rsidR="00165709" w:rsidRDefault="00165709" w:rsidP="0016570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Обоснование</w:t>
            </w:r>
          </w:p>
        </w:tc>
        <w:tc>
          <w:tcPr>
            <w:tcW w:w="3969" w:type="dxa"/>
          </w:tcPr>
          <w:p w14:paraId="21A81FE7" w14:textId="0EBFE859" w:rsidR="00165709" w:rsidRDefault="00165709" w:rsidP="0016570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Переформулированные аргументы</w:t>
            </w:r>
          </w:p>
        </w:tc>
      </w:tr>
      <w:tr w:rsidR="00165709" w14:paraId="06B4AF49" w14:textId="77777777" w:rsidTr="00165709">
        <w:trPr>
          <w:trHeight w:val="1394"/>
        </w:trPr>
        <w:tc>
          <w:tcPr>
            <w:tcW w:w="3687" w:type="dxa"/>
          </w:tcPr>
          <w:p w14:paraId="30384137" w14:textId="3728CE30" w:rsidR="00165709" w:rsidRDefault="00165709" w:rsidP="0016570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Необходимая оборона должна соответствовать нескольким важным критериям: - направлена на защиту охраняемых законом благ; - защита соразмерна характеру и степени общественной опасности преступного посягательства; - причинение вреда осуществляется только посягающему.</w:t>
            </w:r>
          </w:p>
        </w:tc>
        <w:tc>
          <w:tcPr>
            <w:tcW w:w="3685" w:type="dxa"/>
          </w:tcPr>
          <w:p w14:paraId="792AAB9A" w14:textId="10F39378" w:rsidR="00165709" w:rsidRPr="00165709" w:rsidRDefault="00165709" w:rsidP="00165709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В ст. 37 УК РФ</w:t>
            </w:r>
            <w:r w:rsidR="009E13B0">
              <w:rPr>
                <w:rFonts w:cstheme="minorHAnsi"/>
              </w:rPr>
              <w:t xml:space="preserve"> не указано, что одним из критериев необходимой обороны является причинение вреда только посягающему. Это высказывание верно, но в Законе таковое не упомин</w:t>
            </w:r>
            <w:r w:rsidR="00D27B09">
              <w:rPr>
                <w:rFonts w:cstheme="minorHAnsi"/>
              </w:rPr>
              <w:t>ается.</w:t>
            </w:r>
          </w:p>
        </w:tc>
        <w:tc>
          <w:tcPr>
            <w:tcW w:w="3969" w:type="dxa"/>
          </w:tcPr>
          <w:p w14:paraId="75061DDD" w14:textId="54B52158" w:rsidR="00165709" w:rsidRDefault="00D27B09" w:rsidP="0016570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Необходимая оборона должна соответствовать нескольким важным критериям: - направлена на защиту охраняемых законом благ; - защита соразмерна характеру и степени общественной опасности преступного посягательства.</w:t>
            </w:r>
          </w:p>
        </w:tc>
      </w:tr>
      <w:tr w:rsidR="00165709" w14:paraId="63F82553" w14:textId="77777777" w:rsidTr="00165709">
        <w:trPr>
          <w:trHeight w:val="1452"/>
        </w:trPr>
        <w:tc>
          <w:tcPr>
            <w:tcW w:w="3687" w:type="dxa"/>
          </w:tcPr>
          <w:p w14:paraId="5CB52AB5" w14:textId="5A6C7071" w:rsidR="00165709" w:rsidRDefault="009E13B0" w:rsidP="0016570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Более того, уголовно наказуемым деянием при превышении пределов необходимой обороны будет только причинение вреда здоровью тяжкого или средней тяжести, что в данном случае не имело место быть, так как Смирнову О.</w:t>
            </w:r>
            <w:r w:rsidR="007129F1">
              <w:t xml:space="preserve"> </w:t>
            </w:r>
            <w:r>
              <w:t>В. был причинен легкий вред здоровью.</w:t>
            </w:r>
          </w:p>
        </w:tc>
        <w:tc>
          <w:tcPr>
            <w:tcW w:w="3685" w:type="dxa"/>
          </w:tcPr>
          <w:p w14:paraId="7D921688" w14:textId="398B7BA9" w:rsidR="00165709" w:rsidRPr="00E6766B" w:rsidRDefault="007129F1" w:rsidP="00165709">
            <w:pPr>
              <w:pStyle w:val="a3"/>
              <w:ind w:left="0"/>
              <w:rPr>
                <w:color w:val="000000"/>
                <w:shd w:val="clear" w:color="auto" w:fill="FFFFFF"/>
              </w:rPr>
            </w:pPr>
            <w:r w:rsidRPr="00E6766B">
              <w:rPr>
                <w:rFonts w:cstheme="minorHAnsi"/>
              </w:rPr>
              <w:t>Согласно ст</w:t>
            </w:r>
            <w:r w:rsidR="00144A06" w:rsidRPr="00E6766B">
              <w:rPr>
                <w:rFonts w:cstheme="minorHAnsi"/>
              </w:rPr>
              <w:t>. 1066 ГК РФ, н</w:t>
            </w:r>
            <w:r w:rsidR="00144A06" w:rsidRPr="00E6766B">
              <w:rPr>
                <w:color w:val="000000"/>
                <w:shd w:val="clear" w:color="auto" w:fill="FFFFFF"/>
              </w:rPr>
              <w:t>е подлежит возмещению вред, причиненный в состоянии необходимой обороны, если при этом не были превышены ее пределы.</w:t>
            </w:r>
            <w:r w:rsidR="00144A06" w:rsidRPr="00E6766B">
              <w:rPr>
                <w:color w:val="000000"/>
                <w:shd w:val="clear" w:color="auto" w:fill="FFFFFF"/>
              </w:rPr>
              <w:t xml:space="preserve"> Также, в силу п. 2 ст. 37 УК РФ, </w:t>
            </w:r>
            <w:r w:rsidR="00E6766B">
              <w:rPr>
                <w:color w:val="000000"/>
                <w:shd w:val="clear" w:color="auto" w:fill="FFFFFF"/>
              </w:rPr>
              <w:t>з</w:t>
            </w:r>
            <w:r w:rsidR="00E6766B" w:rsidRPr="00E6766B">
              <w:rPr>
                <w:color w:val="000000"/>
                <w:shd w:val="clear" w:color="auto" w:fill="FFFFFF"/>
              </w:rPr>
              <w:t>ащита от </w:t>
            </w:r>
            <w:r w:rsidR="00E6766B">
              <w:t>посягательства</w:t>
            </w:r>
            <w:r w:rsidR="00E6766B">
              <w:rPr>
                <w:color w:val="000000"/>
                <w:shd w:val="clear" w:color="auto" w:fill="FFFFFF"/>
              </w:rPr>
              <w:t xml:space="preserve"> </w:t>
            </w:r>
            <w:r w:rsidR="00E6766B" w:rsidRPr="00E6766B">
              <w:rPr>
                <w:color w:val="000000"/>
                <w:shd w:val="clear" w:color="auto" w:fill="FFFFFF"/>
              </w:rPr>
              <w:t>является правомерной, если при этом не было допущено превышения пределов необходимой обороны, то есть умышленных действий, явно не соответствующих характеру и опасности посягательства.</w:t>
            </w:r>
          </w:p>
          <w:p w14:paraId="2D343B85" w14:textId="1C5EC43A" w:rsidR="00144A06" w:rsidRPr="00E6766B" w:rsidRDefault="00144A06" w:rsidP="00165709">
            <w:pPr>
              <w:pStyle w:val="a3"/>
              <w:ind w:left="0"/>
              <w:rPr>
                <w:rFonts w:cstheme="minorHAnsi"/>
              </w:rPr>
            </w:pPr>
            <w:r w:rsidRPr="00E6766B">
              <w:rPr>
                <w:rFonts w:cstheme="minorHAnsi"/>
                <w:color w:val="000000"/>
                <w:shd w:val="clear" w:color="auto" w:fill="FFFFFF"/>
              </w:rPr>
              <w:t>В законе не даётся такой формулировки, что</w:t>
            </w:r>
            <w:r w:rsidRPr="00E6766B">
              <w:t xml:space="preserve"> уголовно наказуемым деянием при превышении пределов необходимой обороны будет только </w:t>
            </w:r>
            <w:r w:rsidRPr="00E6766B">
              <w:lastRenderedPageBreak/>
              <w:t>причинение вреда здоровью тяжкого или средней тяжести</w:t>
            </w:r>
            <w:r w:rsidRPr="00E6766B">
              <w:t>, поскольку каждый конкретный случай должен рассматриваться отдельно. Более того, вред, причинённый нападавшему, должен быть пропорционален тому вреду, который мог быть причинён лицо, применяющему необходимую оборону</w:t>
            </w:r>
          </w:p>
        </w:tc>
        <w:tc>
          <w:tcPr>
            <w:tcW w:w="3969" w:type="dxa"/>
          </w:tcPr>
          <w:p w14:paraId="47DC2805" w14:textId="7B5A7391" w:rsidR="00165709" w:rsidRPr="00E6766B" w:rsidRDefault="00E6766B" w:rsidP="00165709">
            <w:pPr>
              <w:pStyle w:val="a3"/>
              <w:ind w:left="0"/>
              <w:rPr>
                <w:rFonts w:cstheme="minorHAnsi"/>
              </w:rPr>
            </w:pPr>
            <w:r>
              <w:lastRenderedPageBreak/>
              <w:t>У</w:t>
            </w:r>
            <w:r>
              <w:t xml:space="preserve">головно наказуемым деяние при превышении пределов необходимой обороны будет </w:t>
            </w:r>
            <w:r>
              <w:t>считаться в том случае, когда вред, причинённый нападавшему</w:t>
            </w:r>
            <w:r>
              <w:t>,</w:t>
            </w:r>
            <w:r>
              <w:t xml:space="preserve"> не будет пропорционален предотвращаемому вреду. В </w:t>
            </w:r>
            <w:r>
              <w:t>данном случае Смирнову О. В. был причинен легкий вред здоровью</w:t>
            </w:r>
            <w:r>
              <w:t>, он же был и предотвращён по отношения к Дурову А. П.</w:t>
            </w:r>
          </w:p>
        </w:tc>
      </w:tr>
      <w:tr w:rsidR="00165709" w14:paraId="213B99F0" w14:textId="77777777" w:rsidTr="007129F1">
        <w:trPr>
          <w:trHeight w:val="691"/>
        </w:trPr>
        <w:tc>
          <w:tcPr>
            <w:tcW w:w="3687" w:type="dxa"/>
          </w:tcPr>
          <w:p w14:paraId="41BCD55E" w14:textId="50E2D28E" w:rsidR="00165709" w:rsidRDefault="009E13B0" w:rsidP="0016570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Согласно ст. 1066 ГК РФ и п. 12 Постановление Пленума Верховного Суда РФ от 26.01.2010 № 1, если вред причинен в состоянии необходимой обороны, то он не подлежит возмещению.</w:t>
            </w:r>
          </w:p>
        </w:tc>
        <w:tc>
          <w:tcPr>
            <w:tcW w:w="3685" w:type="dxa"/>
          </w:tcPr>
          <w:p w14:paraId="0452466D" w14:textId="291DE21F" w:rsidR="00165709" w:rsidRDefault="009E13B0" w:rsidP="0016570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Согласно ст. 1066 ГК РФ и п. 12 Постановлени</w:t>
            </w:r>
            <w:r w:rsidR="00144A06">
              <w:t>я</w:t>
            </w:r>
            <w:r>
              <w:t xml:space="preserve"> Пленума Верховного Суда РФ от 26.01.2010 № 1</w:t>
            </w:r>
            <w:r>
              <w:t xml:space="preserve">, </w:t>
            </w:r>
            <w:r w:rsidRPr="009E13B0">
              <w:rPr>
                <w:color w:val="000000"/>
                <w:shd w:val="clear" w:color="auto" w:fill="FFFFFF"/>
              </w:rPr>
              <w:t>вред</w:t>
            </w:r>
            <w:r>
              <w:rPr>
                <w:color w:val="000000"/>
                <w:shd w:val="clear" w:color="auto" w:fill="FFFFFF"/>
              </w:rPr>
              <w:t xml:space="preserve">, причинённый в состоянии необходимой обороны, </w:t>
            </w:r>
            <w:r w:rsidRPr="009E13B0">
              <w:rPr>
                <w:color w:val="000000"/>
                <w:shd w:val="clear" w:color="auto" w:fill="FFFFFF"/>
              </w:rPr>
              <w:t>возмещается на общих основаниях только в случае превышения ее пределов. Размер возмещения определяется судом в зависимости от степени вины как причинителя вреда, так и потерпевшего, действиями которого было вызвано причинение вреда.</w:t>
            </w:r>
          </w:p>
        </w:tc>
        <w:tc>
          <w:tcPr>
            <w:tcW w:w="3969" w:type="dxa"/>
          </w:tcPr>
          <w:p w14:paraId="63647DD1" w14:textId="2890FC80" w:rsidR="00165709" w:rsidRPr="007129F1" w:rsidRDefault="009E13B0" w:rsidP="00165709">
            <w:pPr>
              <w:pStyle w:val="a3"/>
              <w:ind w:left="0"/>
              <w:rPr>
                <w:rFonts w:cstheme="minorHAnsi"/>
              </w:rPr>
            </w:pPr>
            <w:r w:rsidRPr="007129F1">
              <w:rPr>
                <w:rFonts w:cstheme="minorHAnsi"/>
              </w:rPr>
              <w:t>Вред</w:t>
            </w:r>
            <w:r w:rsidR="007129F1">
              <w:rPr>
                <w:rFonts w:cstheme="minorHAnsi"/>
              </w:rPr>
              <w:t>, причинённый в результате необходимой обороны,</w:t>
            </w:r>
            <w:r w:rsidRPr="007129F1">
              <w:rPr>
                <w:rFonts w:cstheme="minorHAnsi"/>
              </w:rPr>
              <w:t xml:space="preserve"> должен быть возмещён только </w:t>
            </w:r>
            <w:r w:rsidR="007129F1">
              <w:rPr>
                <w:rFonts w:cstheme="minorHAnsi"/>
              </w:rPr>
              <w:t xml:space="preserve">в </w:t>
            </w:r>
            <w:r w:rsidRPr="007129F1">
              <w:rPr>
                <w:rFonts w:cstheme="minorHAnsi"/>
              </w:rPr>
              <w:t>том случае</w:t>
            </w:r>
            <w:r w:rsidR="007129F1">
              <w:rPr>
                <w:rFonts w:cstheme="minorHAnsi"/>
              </w:rPr>
              <w:t>,</w:t>
            </w:r>
            <w:r w:rsidRPr="007129F1">
              <w:rPr>
                <w:rFonts w:cstheme="minorHAnsi"/>
              </w:rPr>
              <w:t xml:space="preserve"> когда </w:t>
            </w:r>
            <w:r w:rsidR="007129F1" w:rsidRPr="007129F1">
              <w:rPr>
                <w:rFonts w:cstheme="minorHAnsi"/>
              </w:rPr>
              <w:t xml:space="preserve">лицо превысило </w:t>
            </w:r>
            <w:r w:rsidR="007129F1">
              <w:rPr>
                <w:rFonts w:cstheme="minorHAnsi"/>
              </w:rPr>
              <w:t xml:space="preserve">её </w:t>
            </w:r>
            <w:r w:rsidR="007129F1" w:rsidRPr="007129F1">
              <w:rPr>
                <w:rFonts w:cstheme="minorHAnsi"/>
              </w:rPr>
              <w:t>пределы</w:t>
            </w:r>
            <w:r w:rsidR="007129F1">
              <w:rPr>
                <w:rFonts w:cstheme="minorHAnsi"/>
              </w:rPr>
              <w:t>.</w:t>
            </w:r>
          </w:p>
        </w:tc>
      </w:tr>
      <w:tr w:rsidR="007129F1" w14:paraId="2F7D0877" w14:textId="77777777" w:rsidTr="007129F1">
        <w:trPr>
          <w:trHeight w:val="691"/>
        </w:trPr>
        <w:tc>
          <w:tcPr>
            <w:tcW w:w="3687" w:type="dxa"/>
          </w:tcPr>
          <w:p w14:paraId="27AFD1DE" w14:textId="482864FB" w:rsidR="007129F1" w:rsidRDefault="007129F1" w:rsidP="00165709">
            <w:pPr>
              <w:pStyle w:val="a3"/>
              <w:ind w:left="0"/>
            </w:pPr>
            <w:r>
              <w:t>В связи с этим, так как ответчик не является резидентом РФ, то Смирнов О.</w:t>
            </w:r>
            <w:r>
              <w:t xml:space="preserve"> </w:t>
            </w:r>
            <w:r>
              <w:t>В. при выборе подсудности должен руководствоваться местом нахождения имущества Дурова А.П. и иск должен быть подан в Тверской районный суд г. Москвы.</w:t>
            </w:r>
          </w:p>
        </w:tc>
        <w:tc>
          <w:tcPr>
            <w:tcW w:w="3685" w:type="dxa"/>
          </w:tcPr>
          <w:p w14:paraId="1F12F8AF" w14:textId="6EFBF059" w:rsidR="007129F1" w:rsidRDefault="007129F1" w:rsidP="00165709">
            <w:pPr>
              <w:pStyle w:val="a3"/>
              <w:ind w:left="0"/>
            </w:pPr>
            <w:r>
              <w:t xml:space="preserve">В силу п. 5 ст. 29 ГПК РФ </w:t>
            </w:r>
            <w:r w:rsidRPr="007129F1">
              <w:t>и</w:t>
            </w:r>
            <w:r w:rsidRPr="007129F1">
              <w:rPr>
                <w:color w:val="000000"/>
                <w:shd w:val="clear" w:color="auto" w:fill="FFFFFF"/>
              </w:rPr>
              <w:t>ски о возмещении вреда, причиненного увечьем, иным повреждением здоровья или в результате смерти кормильца, могут предъявляться истцом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7129F1">
              <w:rPr>
                <w:color w:val="000000"/>
                <w:shd w:val="clear" w:color="auto" w:fill="FFFFFF"/>
              </w:rPr>
              <w:t xml:space="preserve">в суд </w:t>
            </w:r>
            <w:r w:rsidRPr="007129F1">
              <w:rPr>
                <w:color w:val="000000"/>
                <w:shd w:val="clear" w:color="auto" w:fill="FFFFFF"/>
              </w:rPr>
              <w:t>по месту нахождения имущества</w:t>
            </w:r>
            <w:r>
              <w:rPr>
                <w:color w:val="000000"/>
                <w:shd w:val="clear" w:color="auto" w:fill="FFFFFF"/>
              </w:rPr>
              <w:t xml:space="preserve"> ответчика</w:t>
            </w:r>
            <w:r w:rsidRPr="007129F1">
              <w:rPr>
                <w:color w:val="000000"/>
                <w:shd w:val="clear" w:color="auto" w:fill="FFFFFF"/>
              </w:rPr>
              <w:t xml:space="preserve"> или по его последнему известному месту жительства в Российской Федерации</w:t>
            </w:r>
            <w:r>
              <w:rPr>
                <w:color w:val="000000"/>
                <w:shd w:val="clear" w:color="auto" w:fill="FFFFFF"/>
              </w:rPr>
              <w:t xml:space="preserve">, а </w:t>
            </w:r>
            <w:r w:rsidRPr="007129F1">
              <w:rPr>
                <w:color w:val="000000"/>
                <w:shd w:val="clear" w:color="auto" w:fill="FFFFFF"/>
              </w:rPr>
              <w:t>также в суд по месту жительства</w:t>
            </w:r>
            <w:r>
              <w:rPr>
                <w:color w:val="000000"/>
                <w:shd w:val="clear" w:color="auto" w:fill="FFFFFF"/>
              </w:rPr>
              <w:t xml:space="preserve"> истца</w:t>
            </w:r>
            <w:r w:rsidRPr="007129F1">
              <w:rPr>
                <w:color w:val="000000"/>
                <w:shd w:val="clear" w:color="auto" w:fill="FFFFFF"/>
              </w:rPr>
              <w:t xml:space="preserve"> или месту причинения вреда.</w:t>
            </w:r>
          </w:p>
        </w:tc>
        <w:tc>
          <w:tcPr>
            <w:tcW w:w="3969" w:type="dxa"/>
          </w:tcPr>
          <w:p w14:paraId="35DB0C8B" w14:textId="0A00C403" w:rsidR="007129F1" w:rsidRPr="007129F1" w:rsidRDefault="007129F1" w:rsidP="00165709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Ответчик имеет право альтернативной подсудности, поэтому имеет право подать гражданский иск в любой суд, который сочтёт наиболее предпочтительным.</w:t>
            </w:r>
          </w:p>
        </w:tc>
      </w:tr>
    </w:tbl>
    <w:p w14:paraId="2E0A88D5" w14:textId="77777777" w:rsidR="00165709" w:rsidRPr="00165709" w:rsidRDefault="00165709" w:rsidP="0016570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65709" w:rsidRPr="00165709" w:rsidSect="009E13B0">
      <w:pgSz w:w="11906" w:h="16838"/>
      <w:pgMar w:top="568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26500"/>
    <w:multiLevelType w:val="hybridMultilevel"/>
    <w:tmpl w:val="0AE8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8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94"/>
    <w:rsid w:val="000B7D71"/>
    <w:rsid w:val="00144A06"/>
    <w:rsid w:val="00165709"/>
    <w:rsid w:val="001E0553"/>
    <w:rsid w:val="007129F1"/>
    <w:rsid w:val="00771CFD"/>
    <w:rsid w:val="007D61F0"/>
    <w:rsid w:val="00882C82"/>
    <w:rsid w:val="00940294"/>
    <w:rsid w:val="009E13B0"/>
    <w:rsid w:val="00D27B09"/>
    <w:rsid w:val="00E6766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172F"/>
  <w15:chartTrackingRefBased/>
  <w15:docId w15:val="{DC821C28-822A-4C88-9263-E0FC8E6A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294"/>
    <w:pPr>
      <w:ind w:left="720"/>
      <w:contextualSpacing/>
    </w:pPr>
  </w:style>
  <w:style w:type="table" w:styleId="a4">
    <w:name w:val="Table Grid"/>
    <w:basedOn w:val="a1"/>
    <w:uiPriority w:val="39"/>
    <w:rsid w:val="0094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E1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</dc:creator>
  <cp:keywords/>
  <dc:description/>
  <cp:lastModifiedBy>182</cp:lastModifiedBy>
  <cp:revision>2</cp:revision>
  <dcterms:created xsi:type="dcterms:W3CDTF">2023-02-12T07:25:00Z</dcterms:created>
  <dcterms:modified xsi:type="dcterms:W3CDTF">2023-02-12T09:15:00Z</dcterms:modified>
</cp:coreProperties>
</file>