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Присутствует ли в действиях Ракитиной А. П. состав преступления, предусмотренного ст. 110 УК РФ?</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 Позиция обвинения - неверная квалификация. Согласно положениям Уголовного кодекса РФ, данное деяние должно повлечь квалификацию по части 5 ст. 110.1 УК РФ. Действия обвиняемой не были направлены на доведение до самоубийства, однако ее поведение повлекло за собой самоубийство Ракитина. Деяние соответствует элементам состава преступления, которое выражается в действиях, повлекших самоубийство лица, находящегося в зависимости от обвиняемого. В указанной ситуации Ракитина понимала, что ее супруг находится в тяжелом эмоциональном состоянии и эмоционально зависим от супруги.</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 В действиях Ракитиной А. П. присутствует состав преступления, предусмотренный ст. 110 УК РФ, так как есть все необходимые для этого элементы состава. - неверно</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Деяния Ракитиной не могут быть квалифицированы по ст.110 УК РФ, так как отсутствует субъективная сторона, а именно умысел в качестве формы вины.</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в) П. 7 меморандума. Ракитин не сообщил Ракитиной о своем психологическом состоянии, поэтому она не знала и не должна была знать о психологических проблемах супруга.</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Позиция защиты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 Согласно ст. 25 УК РФ для признания преступления совершённым умышленно необходимо наличие интеллектуального элемента прямого или косвенного умысла. Непонимание лицом возможности или неотвратимости наступления общественно опасных последствий своих действий или же причинно-следственных связей между своими действиями и возможными последствиями исключает наличие у лица умысла на совершение преступления. - неверно</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 как Ракитина является вменяемым лицом (физический элемент) она  должна была понимать причинно-следственную связь</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На какую долю в наследстве претендует Ракитина А. П.?</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Обвинение.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Следовательно, на момент открытия наследства решение суда вступило в законную силу, брак Ракитиной А. П. и Ракитина С. В. признан расторгнутым. - неверно</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 как не истек месячный срок на апелляционное обжалования решения о расторжении брака, он не может быть признан расторгнутым. Согласно Семейному кодексу РФ брак признается расторгнутым в суде только после вступления в силу решения, а значит после истечения срока на апелляционное обжалование</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Защита.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а) Так как в ходе судебных разбирательств супругами была достигнута предварительная договорённость о разделе имущества, по которой после развода квартиру в центре города, вторую машину и 2/3 счетов получала Ракитина А. П., данное имущество не должно быть включено в наследство. - неверно</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Предварительное соглашение не может быть принято во внимание судом, так как согласно п. 2 ст. 38 СК РФ соглашение о разделе совместно нажитого имущества должно быть нотариально удостоверено. В Фабуле говориться, что соглашение предварительное, а значит не заверено судом. Таким образом, раздел всего имущества должен быть произведен по общему правилу о разделе.</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б) Таким образом, Ракитина А. П. не являлась супругой наследодателя в момент открытия наследства и не может быть признана наследницей первой очереди.</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Нет, так как согласно абзацу 2 пункта 28 ПП ВС №9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разрешении вопросов об определении круга наследников первой очереди по закону судам надлежит учитывать, что в случае расторжения брака в судебном порядке бывший супруг наследодателя лишается права наследовать в указанном качестве, если соответствующее решение суда вступило в законную силу до дня открытия наследства." Согласно Фабуле брак не был расторгнут вступившим в силу решением суда, поэтому Ракитина должна наследовать 1/3 как супруга.</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Может ли Ракитина А. П. быть устранена от наследования как недостойная наследница?</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Обвинение</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Тем самым Ракитина А. П. своими противоправными действиями способствовала смерти наследодателя и призванию себя к наследованию. - неверно</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Ракитина наносила травмы без цели увеличения своей доли или призвания себя к наследованию, поэтому ее деяния не могут быть признаны основанием для объявления ее недостойной наследницей.</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Защита</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Таким образом, за противоправное поведение в отношении наследодателя Ракитина А. П. может быть лишь ограничена в размере супружеской доли, но не может быть устранена от наследования. - неверно</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 разделе наследства можно принять его полностью или отказаться от него. Не допускается ограничение доли, за исключением обязательной доли. Таким образом, Ракитина в любом случае может претендовать на полную обязательную долю в наследстве, равную 1/3 имущества, подлежащего разделу.</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Ракитина не может быть ни отстранена от наследования, ни ограничена в доле, так как в ее деяниях отсутствуют основания признания ее недостойной наследницей.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Дополнительные аргументы: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Так как Ракитина находилась в тяжелом эмоциональном состоянии, суд, в случае принятия решения о виновности Ракитиной по ст. 110, должен применить к ней положения Уголовного кодекса РФ об учете смягчающих обстоятельств, перечень которых является открытым.</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Признание наследника недостойным является задачей нотариуса, ведущего наследственное дело, поэтому признание Ракитиной недостойной наследницей должно быть в ведении нотариуса.</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Тяжелые психологические заболевания могут сами по себе вызывать у человека отклонения, которые могут повлечь такие последствия, как, например, самоубийство. Поэтому Ракитина не виновата в смерти мужа.</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