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Ошибки в меморандуме обвинения:</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пункт 5: саму по себе глубокую депрессию нельзя считать  общественно опасным последствием действий гражданки Ракитиной. Это следствие ее противоправных действий, но не общественно опасное последствие.По составу, в котором обвиняется Ракитина, такое последствие - это совершение самоубийства жертвой.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пункт 9:  решение о расторжении брака вступает в законную силу после истечения срока обжалования.  Наследство открывается со смертью наследодателя. К  1 сентября 2023 года срок обжалования решения от 20 августа 2023 не истек, поэтому решение, не являлось вступившим в силу, брак не считался расторгнутым. Поэтому гражданка Ракитина является наследницей, поскольку состояла в браке на момент смерти гражданина Ракитина.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пункт 11: тот факт, что Ракитин С. В. не воспользовался своим правом на обжалование решения о разводе до 1 сентября 2023 (момента наступления смерти) не может означать, что он не обжаловал бы его в течение всего срока обжалования, если бы был жив. Презумпция, о которой заявляется в меморандуме не работает. Наоборот, в российском праве действует принцип сохранения института брака и семьи, исходя из которого за супругами всегда сохраняется право сохранить семью и отказаться от расторжения брака, и желание одного или обоих супругов обжаловать решение о расторжении брака будет поддержано судом. Презумпция, описанная в меморандуме противоречит основополагающим конституционным принципам.</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пункт 12: на основе изложенного в ответе по поводу п. 11, нельзя признать решение вступившим в силу до истечения срока обжалования на основе презумпции, указанной в меморандуме обвинения.</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Ошибки в меморандуме защиты:</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Пункт 14-15: договоренность о разделе имущества может вступить в силу лишь после расторжения брака (т.е. вступления в силу решения о расторжении брака). Так как решение не вступило в силу к моменту открытия наследства (см. выше), то и договоренность не действует. Так как из фабулы не следует, что существовало завещание наследодателя, то в в браке Ракитиных действовал законный режим собственности супругов. Значит, каждому из супругов принадлежала 1/2 от совместного имущества. И в наследственную массу должна быть включена 1/2 имущества гражданина умершего Ракитина.</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Пункт 16: согласно ст. 1150 ГК РФ, принадлежащее пережившему супругу наследодателя в силу завещания или закона право наследования не умаляет его права на часть имущества, нажитого во время брака с наследодателем и являющегося их совместной собственностью.  Из этого следует, что гражданке Ракитиной принадлежит на праве собственности 1/2 (т. к. законный режим; см. выше) имущества их совместного имущества с умершим Ракитиным. То есть в наследственную массу входит 1/2 всего имущества. На нее претендуют 3 наследника 1 очереди в равных долях, то есть по 1/6. И размер доли гражданки Ракитиной составляет 1/6, а не 1/3, как указано в меморандуме защиты.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Аргументы за сторону защиты:</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Если, как утверждает сторона обвинения. гражданка Ракитина хотела довести мужа до самоубийства, и, тем самым способствовала смерти наследодателя  и призванию себя к наследованию, то остается неясным, зачем она потребовала расторжения брака с гражданином Ракитиным. Ее действия противоречат версии обвинения. Желай она смерти мужа и призвания к наследству, она не стала бы расторгать с ним брак, ведь в таком случае, она не получила бы ничего.</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Сторона обвинения утверждает, что именно действия гражданки Ракитиной стали причиной самоубийства гражданина Ракитина. Однако из фабулы известно, что смерть сына была очень тяжело воспринята супругами, сказано, что гражданин Ракитин винил себя в смерти сына, "чувствовал себя бесконечно виноватым в том, что происходит".  Жена постоянно напоминала ему о том, что случилось, и том,(как мнению их ОБОИХ) он допустил.  Здесь имеет место аргумент о том, что причиной состояния гражданина Ракитина стали не столько поведение жены, сколько душевные муки отца, потерявшего сына и чувствовавшего вину в его смерти, что сильно сказывается на психике лица, делает его эмоционально нестабильным и притупляет его способность объективно воспринимать действительность и оценивать свои и чужие поступки (в том числе и поведение жены, которая, как и он, переживала страдания из-за смерти ребенка, и также не могла объективно оценивать справедливость и мотивацию поступков по отношению к мужу, в частности оскорбления и побои). Такое эмоциональное положение сильно давило на человека, пережившего серьезное потрясение, и могло служить существенной (если не главной) причиной, почему гражданин Ракитин решился на самоубийство.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